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proofErr w:type="gramStart"/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proofErr w:type="gramEnd"/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9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proofErr w:type="gramStart"/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</w:t>
      </w:r>
      <w:proofErr w:type="gramEnd"/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</w:t>
      </w:r>
      <w:proofErr w:type="gramStart"/>
      <w:r>
        <w:rPr>
          <w:rFonts w:ascii="標楷體" w:eastAsia="標楷體" w:hAnsi="標楷體" w:cs="Calibri" w:hint="eastAsia"/>
          <w:color w:val="222222"/>
          <w:kern w:val="0"/>
          <w:szCs w:val="24"/>
        </w:rPr>
        <w:t>街總字</w:t>
      </w:r>
      <w:proofErr w:type="gramEnd"/>
      <w:r>
        <w:rPr>
          <w:rFonts w:ascii="標楷體" w:eastAsia="標楷體" w:hAnsi="標楷體" w:cs="Calibri" w:hint="eastAsia"/>
          <w:color w:val="222222"/>
          <w:kern w:val="0"/>
          <w:szCs w:val="24"/>
        </w:rPr>
        <w:t>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proofErr w:type="gramStart"/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</w:t>
      </w:r>
      <w:proofErr w:type="gramEnd"/>
      <w:r>
        <w:rPr>
          <w:rFonts w:ascii="標楷體" w:eastAsia="標楷體" w:hAnsi="標楷體" w:cs="Calibri" w:hint="eastAsia"/>
          <w:color w:val="222222"/>
          <w:kern w:val="0"/>
          <w:szCs w:val="24"/>
        </w:rPr>
        <w:t>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</w:t>
      </w:r>
      <w:proofErr w:type="gramStart"/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盃</w:t>
      </w:r>
      <w:proofErr w:type="gramEnd"/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</w:t>
      </w:r>
      <w:proofErr w:type="gramStart"/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</w:t>
      </w:r>
      <w:proofErr w:type="gramStart"/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</w:t>
      </w:r>
      <w:proofErr w:type="gramStart"/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</w:t>
      </w:r>
      <w:proofErr w:type="gramEnd"/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鑑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</w:t>
      </w:r>
      <w:proofErr w:type="gramStart"/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其一『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</w:t>
      </w:r>
      <w:proofErr w:type="gramStart"/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</w:t>
      </w:r>
      <w:proofErr w:type="gramStart"/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</w:t>
      </w:r>
      <w:proofErr w:type="gramStart"/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</w:t>
      </w:r>
      <w:proofErr w:type="gramStart"/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盃</w:t>
      </w:r>
      <w:proofErr w:type="gramEnd"/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選手之街舞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</w:t>
      </w:r>
      <w:proofErr w:type="gramStart"/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盃</w:t>
      </w:r>
      <w:proofErr w:type="gramEnd"/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須推派</w:t>
      </w:r>
      <w:proofErr w:type="gramEnd"/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詳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bookmarkStart w:id="0" w:name="_GoBack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>2018全民</w:t>
      </w:r>
      <w:proofErr w:type="gramStart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>盃</w:t>
      </w:r>
      <w:proofErr w:type="gramEnd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>暨國際奧林匹克街舞亞洲賽</w:t>
      </w:r>
      <w:bookmarkEnd w:id="0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proofErr w:type="gramStart"/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</w:t>
      </w:r>
      <w:proofErr w:type="gramEnd"/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2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三對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</w:t>
            </w:r>
            <w:proofErr w:type="gramStart"/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網路海選</w:t>
            </w:r>
            <w:proofErr w:type="gramEnd"/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網路海選</w:t>
            </w:r>
            <w:proofErr w:type="gramEnd"/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順序取前100組</w:t>
            </w:r>
            <w:proofErr w:type="gramEnd"/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  <w:proofErr w:type="gramEnd"/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花式鬥牛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兢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賽，每組進行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前八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強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</w:t>
            </w:r>
            <w:proofErr w:type="gramStart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培</w:t>
            </w:r>
            <w:proofErr w:type="gramEnd"/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</w:t>
            </w:r>
            <w:proofErr w:type="gramEnd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</w:t>
      </w:r>
      <w:proofErr w:type="gramStart"/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盃</w:t>
      </w:r>
      <w:proofErr w:type="gramEnd"/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</w:t>
            </w:r>
            <w:proofErr w:type="gramStart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proofErr w:type="gramStart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proofErr w:type="gramEnd"/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</w:t>
            </w:r>
            <w:proofErr w:type="gramStart"/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限排舞組</w:t>
            </w:r>
            <w:proofErr w:type="gramEnd"/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</w:t>
            </w:r>
            <w:proofErr w:type="gramStart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學專班生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</w:t>
            </w:r>
            <w:proofErr w:type="gramStart"/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影本者</w:t>
            </w:r>
            <w:proofErr w:type="gramEnd"/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</w:t>
            </w:r>
            <w:proofErr w:type="gramStart"/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</w:t>
            </w:r>
            <w:proofErr w:type="gramEnd"/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7" w:rsidRDefault="00CF3467" w:rsidP="00826312">
      <w:r>
        <w:separator/>
      </w:r>
    </w:p>
  </w:endnote>
  <w:endnote w:type="continuationSeparator" w:id="0">
    <w:p w:rsidR="00CF3467" w:rsidRDefault="00CF3467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7" w:rsidRDefault="00CF3467" w:rsidP="00826312">
      <w:r>
        <w:separator/>
      </w:r>
    </w:p>
  </w:footnote>
  <w:footnote w:type="continuationSeparator" w:id="0">
    <w:p w:rsidR="00CF3467" w:rsidRDefault="00CF3467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93897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467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funkshen5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aipr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D72A-B486-448B-9D99-A098BBC3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user</cp:lastModifiedBy>
  <cp:revision>2</cp:revision>
  <cp:lastPrinted>2018-06-25T10:21:00Z</cp:lastPrinted>
  <dcterms:created xsi:type="dcterms:W3CDTF">2018-07-03T01:03:00Z</dcterms:created>
  <dcterms:modified xsi:type="dcterms:W3CDTF">2018-07-03T01:03:00Z</dcterms:modified>
</cp:coreProperties>
</file>